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4E9B" w14:textId="0816E1DB" w:rsidR="001F1F17" w:rsidRPr="008029DC" w:rsidRDefault="00E874C2" w:rsidP="00265429">
      <w:pPr>
        <w:jc w:val="both"/>
        <w:rPr>
          <w:rStyle w:val="Strong"/>
          <w:rFonts w:ascii="Arial" w:hAnsi="Arial" w:cs="Arial"/>
          <w:color w:val="000000" w:themeColor="text1"/>
          <w:sz w:val="24"/>
          <w:szCs w:val="24"/>
          <w:shd w:val="clear" w:color="auto" w:fill="FFFFFF"/>
        </w:rPr>
      </w:pPr>
      <w:r w:rsidRPr="008029DC">
        <w:rPr>
          <w:rFonts w:ascii="Arial" w:hAnsi="Arial" w:cs="Arial"/>
          <w:b/>
          <w:bCs/>
          <w:color w:val="000000" w:themeColor="text1"/>
          <w:sz w:val="24"/>
          <w:szCs w:val="24"/>
          <w:shd w:val="clear" w:color="auto" w:fill="FFFFFF"/>
        </w:rPr>
        <w:t>6.1.1:</w:t>
      </w:r>
      <w:r w:rsidRPr="008029DC">
        <w:rPr>
          <w:rFonts w:ascii="Arial" w:hAnsi="Arial" w:cs="Arial"/>
          <w:color w:val="000000" w:themeColor="text1"/>
          <w:sz w:val="24"/>
          <w:szCs w:val="24"/>
          <w:shd w:val="clear" w:color="auto" w:fill="FFFFFF"/>
        </w:rPr>
        <w:t> </w:t>
      </w:r>
      <w:r w:rsidRPr="008029DC">
        <w:rPr>
          <w:rStyle w:val="Strong"/>
          <w:rFonts w:ascii="Arial" w:hAnsi="Arial" w:cs="Arial"/>
          <w:color w:val="000000" w:themeColor="text1"/>
          <w:sz w:val="24"/>
          <w:szCs w:val="24"/>
          <w:shd w:val="clear" w:color="auto" w:fill="FFFFFF"/>
        </w:rPr>
        <w:t>The governance of the institution is reflective of and in tune with the vision and mission of the institution</w:t>
      </w:r>
    </w:p>
    <w:p w14:paraId="2A0A4BDB" w14:textId="77777777" w:rsidR="00265429" w:rsidRPr="00265429" w:rsidRDefault="00265429" w:rsidP="0026542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b/>
          <w:bCs/>
          <w:sz w:val="24"/>
          <w:szCs w:val="24"/>
          <w:lang w:eastAsia="en-IN"/>
        </w:rPr>
        <w:t>SIES: Governance and Management</w:t>
      </w:r>
    </w:p>
    <w:p w14:paraId="680CCBD3" w14:textId="77777777" w:rsidR="00265429" w:rsidRPr="00265429" w:rsidRDefault="00265429" w:rsidP="0026542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b/>
          <w:bCs/>
          <w:i/>
          <w:iCs/>
          <w:sz w:val="24"/>
          <w:szCs w:val="24"/>
          <w:lang w:eastAsia="en-IN"/>
        </w:rPr>
        <w:t>Vision:</w:t>
      </w:r>
    </w:p>
    <w:p w14:paraId="4DF4517E" w14:textId="77777777" w:rsidR="00265429" w:rsidRPr="00265429" w:rsidRDefault="00265429" w:rsidP="0026542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be a centre of excellence in Education and Technology committed towards Socio-Economic advancement of the country.</w:t>
      </w:r>
    </w:p>
    <w:p w14:paraId="30E72192" w14:textId="77777777" w:rsidR="00265429" w:rsidRPr="00265429" w:rsidRDefault="00265429" w:rsidP="0026542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b/>
          <w:bCs/>
          <w:i/>
          <w:iCs/>
          <w:sz w:val="24"/>
          <w:szCs w:val="24"/>
          <w:lang w:eastAsia="en-IN"/>
        </w:rPr>
        <w:t>Mission:</w:t>
      </w:r>
    </w:p>
    <w:p w14:paraId="2DFFACDD" w14:textId="77777777" w:rsidR="00265429" w:rsidRPr="00265429" w:rsidRDefault="00265429" w:rsidP="0026542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impart advanced knowledge in Engineering and Technology.</w:t>
      </w:r>
    </w:p>
    <w:p w14:paraId="4497776C" w14:textId="77777777" w:rsidR="00265429" w:rsidRPr="00265429" w:rsidRDefault="00265429" w:rsidP="0026542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transform young minds towards professional competence by inculcating values and developing skills.</w:t>
      </w:r>
    </w:p>
    <w:p w14:paraId="01CD3B9C" w14:textId="77777777" w:rsidR="00265429" w:rsidRPr="00265429" w:rsidRDefault="00265429" w:rsidP="0026542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promote research and ensure continuous value addition among students and employees.</w:t>
      </w:r>
    </w:p>
    <w:p w14:paraId="39748D30" w14:textId="77777777" w:rsidR="00265429" w:rsidRPr="00265429" w:rsidRDefault="00265429" w:rsidP="0026542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strengthen association with industry, research organizations and alumni to enhance knowledge on current technologies.</w:t>
      </w:r>
    </w:p>
    <w:p w14:paraId="47594926" w14:textId="77777777" w:rsidR="00265429" w:rsidRPr="00265429" w:rsidRDefault="00265429" w:rsidP="0026542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promote next generation technocracy and nurture entrepreneurial culture for social-economic growth.</w:t>
      </w:r>
    </w:p>
    <w:p w14:paraId="47581810" w14:textId="77777777" w:rsidR="00265429" w:rsidRPr="00265429" w:rsidRDefault="00265429" w:rsidP="0026542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The institution follows a democratic and participatory mode of governance with all stakeholders participating actively in its administration to deliver value based and advance education which bring significant benefits to the society. The governing board comprises of distinguished administrators, academicians and faculty representatives.  The Governing Body delegates authority to the Principal who, in turn share it with the different levels of functionaries in the college. The Heads of Departments, the Conveners of various committees and section in-charges play significant role in framing the institutional policies and implementing the same. Institute strike a balance between compliance with regulatory matters and keeping a strong pulse on improving the college’s performance along with long term sustainability by forming a strategic direction towards Centre of excellence.</w:t>
      </w:r>
    </w:p>
    <w:p w14:paraId="199FEED0" w14:textId="77777777" w:rsidR="00265429" w:rsidRPr="00265429" w:rsidRDefault="00265429" w:rsidP="0026542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b/>
          <w:bCs/>
          <w:sz w:val="24"/>
          <w:szCs w:val="24"/>
          <w:lang w:eastAsia="en-IN"/>
        </w:rPr>
        <w:t>Strategic / Perspective plan:</w:t>
      </w:r>
    </w:p>
    <w:p w14:paraId="2799629A" w14:textId="77777777" w:rsidR="00265429" w:rsidRPr="00265429" w:rsidRDefault="00265429" w:rsidP="002654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enrich curriculum</w:t>
      </w:r>
    </w:p>
    <w:p w14:paraId="42687AE6" w14:textId="77777777" w:rsidR="00265429" w:rsidRPr="00265429" w:rsidRDefault="00265429" w:rsidP="002654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incorporate digital platform to improve teaching-learning process</w:t>
      </w:r>
    </w:p>
    <w:p w14:paraId="3D3F91F0" w14:textId="77777777" w:rsidR="00265429" w:rsidRPr="00265429" w:rsidRDefault="00265429" w:rsidP="002654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encourage research and consultancy, industry-institute interaction and entrepreneurship activities.</w:t>
      </w:r>
    </w:p>
    <w:p w14:paraId="4ACE697F" w14:textId="77777777" w:rsidR="00265429" w:rsidRPr="00265429" w:rsidRDefault="00265429" w:rsidP="002654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strengthen alumni engagement and enhance student experience.</w:t>
      </w:r>
    </w:p>
    <w:p w14:paraId="6BB207A6" w14:textId="77777777" w:rsidR="00265429" w:rsidRPr="00265429" w:rsidRDefault="00265429" w:rsidP="002654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enhance contribution towards society and the environment.</w:t>
      </w:r>
    </w:p>
    <w:p w14:paraId="27DC5554" w14:textId="77777777" w:rsidR="00265429" w:rsidRPr="00265429" w:rsidRDefault="00265429" w:rsidP="002654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initiate new courses at PG and UG level.</w:t>
      </w:r>
    </w:p>
    <w:p w14:paraId="4AC25241" w14:textId="77777777" w:rsidR="00265429" w:rsidRPr="00265429" w:rsidRDefault="00265429" w:rsidP="0026542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To formulate development plans to improve the overall quality of the institute</w:t>
      </w:r>
    </w:p>
    <w:p w14:paraId="1BDA602E" w14:textId="77777777" w:rsidR="00265429" w:rsidRPr="00265429" w:rsidRDefault="00265429" w:rsidP="0026542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b/>
          <w:bCs/>
          <w:sz w:val="24"/>
          <w:szCs w:val="24"/>
          <w:lang w:eastAsia="en-IN"/>
        </w:rPr>
        <w:t>Participation of Teachers in Decision-Making Bodies:</w:t>
      </w:r>
    </w:p>
    <w:p w14:paraId="23A89303" w14:textId="77777777" w:rsidR="00265429" w:rsidRPr="00265429" w:rsidRDefault="00265429" w:rsidP="0026542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65429">
        <w:rPr>
          <w:rFonts w:ascii="Times New Roman" w:eastAsia="Times New Roman" w:hAnsi="Times New Roman" w:cs="Times New Roman"/>
          <w:sz w:val="24"/>
          <w:szCs w:val="24"/>
          <w:lang w:eastAsia="en-IN"/>
        </w:rPr>
        <w:t xml:space="preserve">Teachers discharge an important role in implementing the vision and mission of the college and department by being the members of various governing bodies and in implementing the policies. Heads of Departments enjoy considerable administrative and academic autonomy in running their disciplinary units. Besides, teachers are members and conveners of the various </w:t>
      </w:r>
      <w:r w:rsidRPr="00265429">
        <w:rPr>
          <w:rFonts w:ascii="Times New Roman" w:eastAsia="Times New Roman" w:hAnsi="Times New Roman" w:cs="Times New Roman"/>
          <w:sz w:val="24"/>
          <w:szCs w:val="24"/>
          <w:lang w:eastAsia="en-IN"/>
        </w:rPr>
        <w:lastRenderedPageBreak/>
        <w:t>committees that are instituted for the day-to-day functioning of the college. Some of these committees are the Academic Council, the Examination Committee, the Admission Committee, R&amp;D committee, etc. Academic committee determines various innovative teaching-learning practices and pedagogical practices to be adopted. Teachers also discharge driving pervasive role as motivators for cultural and socially conscious activities in the institution by steering the NSS unit, the Women’s development cell. The formal and informal arrangements in the premises to co-ordinate the academic and administrative planning and implementation reflects the Colleges efforts in achieving its vision.</w:t>
      </w:r>
    </w:p>
    <w:p w14:paraId="70E355D0" w14:textId="77777777" w:rsidR="00265429" w:rsidRPr="00E874C2" w:rsidRDefault="00265429" w:rsidP="00265429">
      <w:pPr>
        <w:jc w:val="both"/>
        <w:rPr>
          <w:rStyle w:val="Strong"/>
          <w:rFonts w:ascii="Arial" w:hAnsi="Arial" w:cs="Arial"/>
          <w:color w:val="333333"/>
          <w:sz w:val="24"/>
          <w:szCs w:val="24"/>
          <w:shd w:val="clear" w:color="auto" w:fill="FFFFFF"/>
        </w:rPr>
      </w:pPr>
    </w:p>
    <w:sectPr w:rsidR="00265429" w:rsidRPr="00E87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8568B"/>
    <w:multiLevelType w:val="multilevel"/>
    <w:tmpl w:val="D17C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8166F"/>
    <w:multiLevelType w:val="multilevel"/>
    <w:tmpl w:val="8594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B4EC5"/>
    <w:multiLevelType w:val="multilevel"/>
    <w:tmpl w:val="566E4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70979"/>
    <w:multiLevelType w:val="multilevel"/>
    <w:tmpl w:val="3ED4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2"/>
    <w:rsid w:val="00265429"/>
    <w:rsid w:val="008029DC"/>
    <w:rsid w:val="009411F3"/>
    <w:rsid w:val="009B101F"/>
    <w:rsid w:val="00E874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D1B0"/>
  <w15:chartTrackingRefBased/>
  <w15:docId w15:val="{48129141-F091-4D47-B003-96BB664F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74C2"/>
    <w:rPr>
      <w:b/>
      <w:bCs/>
    </w:rPr>
  </w:style>
  <w:style w:type="paragraph" w:styleId="NormalWeb">
    <w:name w:val="Normal (Web)"/>
    <w:basedOn w:val="Normal"/>
    <w:uiPriority w:val="99"/>
    <w:semiHidden/>
    <w:unhideWhenUsed/>
    <w:rsid w:val="00E874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87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0758">
      <w:bodyDiv w:val="1"/>
      <w:marLeft w:val="0"/>
      <w:marRight w:val="0"/>
      <w:marTop w:val="0"/>
      <w:marBottom w:val="0"/>
      <w:divBdr>
        <w:top w:val="none" w:sz="0" w:space="0" w:color="auto"/>
        <w:left w:val="none" w:sz="0" w:space="0" w:color="auto"/>
        <w:bottom w:val="none" w:sz="0" w:space="0" w:color="auto"/>
        <w:right w:val="none" w:sz="0" w:space="0" w:color="auto"/>
      </w:divBdr>
    </w:div>
    <w:div w:id="205005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2</cp:revision>
  <dcterms:created xsi:type="dcterms:W3CDTF">2020-11-17T07:48:00Z</dcterms:created>
  <dcterms:modified xsi:type="dcterms:W3CDTF">2020-11-17T07:48:00Z</dcterms:modified>
</cp:coreProperties>
</file>